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401632</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Athens, GR, 26 Feb – 01 Mar</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Remaining Discussion on RLM, BFD and CBD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8.3.2.3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previous meetings, Some discussion were held around the enhancement of RLM, BFD/CBD for the UE capable of simultaneous multi-panel reception. While still some issues are suspending, in this paper, we provide some further analysis on the remaining issues of RLM, BFD/CBD.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bCs/>
                <w:i/>
                <w:iCs/>
                <w:lang w:eastAsia="ko-KR"/>
              </w:rPr>
            </w:pPr>
            <w:r>
              <w:rPr>
                <w:b/>
                <w:color w:val="000000" w:themeColor="text1"/>
                <w:u w:val="single"/>
                <w:lang w:eastAsia="ko-KR"/>
                <w14:textFill>
                  <w14:solidFill>
                    <w14:schemeClr w14:val="tx1"/>
                  </w14:solidFill>
                </w14:textFill>
              </w:rPr>
              <w:t>Issue 2-1-5: Other aspects of RLM and cell specific BFD/CBD requirements for multi-Rx</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1a:</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without any clarification on multi-TRP operation.</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1b:</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of intra-cell mTRP, no need to give any clarification or assumption on whether the RLM-RS originated from two TRPs or not.</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1c:</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No need of additional clarification that RLM-RSes for evaluating out-of-sync and in-sync may originate from two different TRPs as RAN4 agreed to specify measurement restrictions.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rPr>
                <w:rFonts w:hint="eastAsia" w:eastAsia="宋体"/>
                <w:color w:val="auto"/>
                <w:sz w:val="20"/>
                <w:szCs w:val="20"/>
                <w:vertAlign w:val="baseline"/>
                <w:lang w:val="en-US" w:eastAsia="zh-CN"/>
              </w:rPr>
            </w:pPr>
            <w:r>
              <w:t>Capture in the RLM requirements that in m-DCI scenario, RLM RS during the evaluation period for out-of-sync and in-sync may originate from one or two TRPs</w:t>
            </w:r>
          </w:p>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2-2-1: Updated conditions for TRP specific BFD requirements enhancement for multi-Rx</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Both CSI-RSs are not in any CSI-RS resource set with repetition ON</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two CSI-RS resources in the two sets q ̅_0,0 and q ̅_0,1 for beam failure detection [and both PDSCHs] are overlapped on the same OFDM symbol.</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CSI-RS in set q ̅_0,0 has same QCL source as the active TCI state of one PDSCH, and the CSI-RS in set q ̅_0,1 has same QCL source as the active TCI state of the other PDSCH]</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Resources of the active TCI states for the two PDCCHs, or two PDSCHs have been reported as a resource group in Rel-17 group-based RSRP report.</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[FFS how to capture UE is activated with multi-Rx operation]</w:t>
            </w: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bidi w:val="0"/>
        <w:rPr>
          <w:rFonts w:hint="eastAsia"/>
          <w:lang w:val="en-US" w:eastAsia="zh-CN"/>
        </w:rPr>
      </w:pPr>
      <w:r>
        <w:rPr>
          <w:rFonts w:hint="eastAsia"/>
          <w:lang w:val="en-US" w:eastAsia="zh-CN"/>
        </w:rPr>
        <w:t>Regarding RLM/BFD/CBD, until last meeting, good progress have been achieved. We summarize the enhancement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1175"/>
        <w:gridCol w:w="2914"/>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tcPr>
          <w:p>
            <w:pPr>
              <w:bidi w:val="0"/>
              <w:jc w:val="center"/>
              <w:rPr>
                <w:rFonts w:hint="default"/>
                <w:sz w:val="15"/>
                <w:szCs w:val="15"/>
                <w:vertAlign w:val="baseline"/>
                <w:lang w:val="en-US" w:eastAsia="zh-CN"/>
              </w:rPr>
            </w:pPr>
            <w:r>
              <w:rPr>
                <w:rFonts w:hint="eastAsia"/>
                <w:sz w:val="15"/>
                <w:szCs w:val="15"/>
                <w:vertAlign w:val="baseline"/>
                <w:lang w:val="en-US" w:eastAsia="zh-CN"/>
              </w:rPr>
              <w:t>Type</w:t>
            </w:r>
          </w:p>
        </w:tc>
        <w:tc>
          <w:tcPr>
            <w:tcW w:w="1175"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Rx beam sweeping</w:t>
            </w:r>
          </w:p>
        </w:tc>
        <w:tc>
          <w:tcPr>
            <w:tcW w:w="2914"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P</w:t>
            </w:r>
            <w:r>
              <w:rPr>
                <w:rFonts w:hint="eastAsia"/>
                <w:sz w:val="10"/>
                <w:szCs w:val="10"/>
                <w:vertAlign w:val="baseline"/>
                <w:lang w:val="en-US" w:eastAsia="zh-CN"/>
              </w:rPr>
              <w:t>TRP</w:t>
            </w:r>
          </w:p>
        </w:tc>
        <w:tc>
          <w:tcPr>
            <w:tcW w:w="3217" w:type="dxa"/>
          </w:tcPr>
          <w:p>
            <w:pPr>
              <w:bidi w:val="0"/>
              <w:jc w:val="center"/>
              <w:rPr>
                <w:rFonts w:hint="default"/>
                <w:sz w:val="15"/>
                <w:szCs w:val="15"/>
                <w:vertAlign w:val="baseline"/>
                <w:lang w:val="en-US" w:eastAsia="zh-CN"/>
              </w:rPr>
            </w:pPr>
            <w:r>
              <w:rPr>
                <w:rFonts w:hint="eastAsia"/>
                <w:sz w:val="15"/>
                <w:szCs w:val="15"/>
                <w:vertAlign w:val="baseline"/>
                <w:lang w:val="en-US" w:eastAsia="zh-CN"/>
              </w:rPr>
              <w:t>Enhancements by Multi-Rx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RLM</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5"/>
              </w:numPr>
              <w:spacing w:after="0" w:line="240" w:lineRule="auto"/>
              <w:rPr>
                <w:rFonts w:hint="eastAsia" w:cs="Times New Roman"/>
                <w:sz w:val="15"/>
                <w:szCs w:val="15"/>
                <w:lang w:val="en-US" w:eastAsia="zh-CN" w:bidi="ar-SA"/>
              </w:rPr>
            </w:pPr>
            <w:r>
              <w:rPr>
                <w:rFonts w:hint="eastAsia" w:cs="Times New Roman"/>
                <w:sz w:val="15"/>
                <w:szCs w:val="15"/>
                <w:lang w:val="en-US" w:eastAsia="zh-CN" w:bidi="ar-SA"/>
              </w:rPr>
              <w:t>Apply faster beam sweeping</w:t>
            </w:r>
          </w:p>
          <w:p>
            <w:pPr>
              <w:numPr>
                <w:ilvl w:val="0"/>
                <w:numId w:val="5"/>
              </w:numPr>
              <w:spacing w:after="0" w:line="240" w:lineRule="auto"/>
              <w:ind w:left="0" w:leftChars="0" w:firstLine="0" w:firstLineChars="0"/>
              <w:rPr>
                <w:rFonts w:hint="default"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RLM</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6"/>
              </w:numPr>
              <w:spacing w:after="0" w:line="240" w:lineRule="auto"/>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Apply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7"/>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Apply faster beam sweeping</w:t>
            </w:r>
          </w:p>
          <w:p>
            <w:pPr>
              <w:numPr>
                <w:ilvl w:val="0"/>
                <w:numId w:val="7"/>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8"/>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Apply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SSB </w:t>
            </w:r>
            <w:r>
              <w:rPr>
                <w:rFonts w:hint="eastAsia" w:cs="Times New Roman"/>
                <w:sz w:val="15"/>
                <w:szCs w:val="15"/>
                <w:lang w:val="en-US" w:eastAsia="zh-CN"/>
              </w:rPr>
              <w:t>CBD</w:t>
            </w:r>
            <w:r>
              <w:rPr>
                <w:rFonts w:cs="Times New Roman"/>
                <w:sz w:val="15"/>
                <w:szCs w:val="15"/>
              </w:rPr>
              <w:t>,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CSI-RS </w:t>
            </w:r>
            <w:r>
              <w:rPr>
                <w:rFonts w:hint="eastAsia" w:cs="Times New Roman"/>
                <w:sz w:val="15"/>
                <w:szCs w:val="15"/>
                <w:lang w:val="en-US" w:eastAsia="zh-CN"/>
              </w:rPr>
              <w:t>CBD</w:t>
            </w:r>
            <w:r>
              <w:rPr>
                <w:rFonts w:cs="Times New Roman"/>
                <w:sz w:val="15"/>
                <w:szCs w:val="15"/>
              </w:rPr>
              <w:t>,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default" w:cs="Times New Roman"/>
                <w:sz w:val="15"/>
                <w:szCs w:val="15"/>
                <w:lang w:val="en-US"/>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numPr>
                <w:ilvl w:val="0"/>
                <w:numId w:val="9"/>
              </w:numPr>
              <w:spacing w:after="0" w:line="240" w:lineRule="auto"/>
              <w:rPr>
                <w:rFonts w:hint="default" w:ascii="Times New Roman" w:hAnsi="Times New Roman" w:eastAsia="Times New Roman" w:cs="Times New Roman"/>
                <w:sz w:val="15"/>
                <w:szCs w:val="15"/>
                <w:lang w:val="en-US" w:eastAsia="zh-CN" w:bidi="ar-SA"/>
              </w:rPr>
            </w:pPr>
            <w:r>
              <w:rPr>
                <w:rFonts w:hint="eastAsia"/>
                <w:sz w:val="15"/>
                <w:szCs w:val="15"/>
                <w:vertAlign w:val="baseline"/>
                <w:lang w:val="en-US" w:eastAsia="zh-CN"/>
              </w:rPr>
              <w:t>P</w:t>
            </w:r>
            <w:r>
              <w:rPr>
                <w:rFonts w:hint="eastAsia"/>
                <w:sz w:val="10"/>
                <w:szCs w:val="10"/>
                <w:vertAlign w:val="baseline"/>
                <w:lang w:val="en-US" w:eastAsia="zh-CN"/>
              </w:rPr>
              <w:t>TRP</w:t>
            </w:r>
            <w:r>
              <w:rPr>
                <w:rFonts w:hint="eastAsia" w:eastAsia="宋体" w:cs="Times New Roman"/>
                <w:sz w:val="15"/>
                <w:szCs w:val="15"/>
                <w:lang w:val="en-US" w:eastAsia="zh-CN"/>
              </w:rPr>
              <w:t xml:space="preserve"> reduction when RSs overlapping </w:t>
            </w:r>
            <w:r>
              <w:rPr>
                <w:rFonts w:hint="eastAsia" w:cs="Times New Roman"/>
                <w:sz w:val="15"/>
                <w:szCs w:val="15"/>
                <w:lang w:val="en-US" w:eastAsia="zh-CN" w:bidi="ar-SA"/>
              </w:rPr>
              <w:t>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CBD,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CBD,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bl>
    <w:p>
      <w:pPr>
        <w:bidi w:val="0"/>
        <w:rPr>
          <w:rFonts w:hint="eastAsia"/>
          <w:lang w:val="en-US" w:eastAsia="zh-CN"/>
        </w:rPr>
      </w:pPr>
      <w:r>
        <w:rPr>
          <w:rFonts w:hint="eastAsia"/>
          <w:lang w:val="en-US" w:eastAsia="zh-CN"/>
        </w:rPr>
        <w:t>So only one remaining issue is left regarding the sDCI/mDCI:</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hint="default"/>
                <w:vertAlign w:val="baseline"/>
                <w:lang w:val="en-US" w:eastAsia="zh-CN"/>
              </w:rPr>
            </w:pPr>
            <w:r>
              <w:rPr>
                <w:b/>
                <w:color w:val="auto"/>
                <w:u w:val="single"/>
                <w:lang w:eastAsia="ko-KR"/>
              </w:rPr>
              <w:t>Other aspects of RLM and cell specific BFD/CBD requirements for multi-Rx</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1a:</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without any clarification on multi-TRP operation.</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1b:</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of intra-cell mTRP, no need to give any clarification or assumption on whether the RLM-RS originated from two TRPs or not.</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1c:</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No need of additional clarification that RLM-RSes for evaluating out-of-sync and in-sync may originate from two different TRPs as RAN4 agreed to specify measurement restrictions.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rPr>
                <w:rFonts w:hint="default"/>
                <w:vertAlign w:val="baseline"/>
                <w:lang w:val="en-US" w:eastAsia="zh-CN"/>
              </w:rPr>
            </w:pPr>
            <w:r>
              <w:t>Capture in the RLM requirements that in m-DCI scenario, RLM RS during the evaluation period for out-of-sync and in-sync may originate from one or two TRPs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legacy R16/17, only cell-specific RLM is defined, no extension to TRP-specific RLM. </w:t>
      </w:r>
      <w:bookmarkStart w:id="0" w:name="_Toc142659829"/>
      <w:r>
        <w:rPr>
          <w:rFonts w:hint="eastAsia" w:eastAsia="宋体"/>
          <w:color w:val="auto"/>
          <w:sz w:val="20"/>
          <w:szCs w:val="20"/>
          <w:lang w:val="en-US" w:eastAsia="zh-CN"/>
        </w:rPr>
        <w:t>In s-DCI scenario, the RS for RLM, BFD and CBD can only originate from a single anchor TRP with PDCCH configured.</w:t>
      </w:r>
      <w:bookmarkEnd w:id="0"/>
      <w:bookmarkStart w:id="1" w:name="_Toc142659830"/>
      <w:r>
        <w:rPr>
          <w:rFonts w:hint="eastAsia" w:eastAsia="宋体"/>
          <w:color w:val="auto"/>
          <w:sz w:val="20"/>
          <w:szCs w:val="20"/>
          <w:lang w:val="en-US" w:eastAsia="zh-CN"/>
        </w:rPr>
        <w:t xml:space="preserve"> Therefore, the situation is same as that in single-Rx scenario, and the requirements in section 8.1 can apply directly for multi-Rx s-DCI scenario. In m-DCI scenario, according to the existing RAN1 specifications, network may configure RLM-RSs to be sent from two TRPs, because PDCCH is configured for both links. Therefore, within the evaluation period for out-of-sync and in-sync, the UE may receive RLM RS from the two TRPs in multi-DCI scenario, of course it is also possible the RLM-RSs are originated from a single TRP.</w:t>
      </w:r>
      <w:bookmarkEnd w:id="1"/>
      <w:r>
        <w:rPr>
          <w:rFonts w:hint="eastAsia" w:eastAsia="宋体"/>
          <w:color w:val="auto"/>
          <w:sz w:val="20"/>
          <w:szCs w:val="20"/>
          <w:lang w:val="en-US" w:eastAsia="zh-CN"/>
        </w:rPr>
        <w:t xml:space="preserve"> But no matter sDCI or mDCI transmitted, only one RS set is configured for RLM for a cell.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the case of intra-cell mTRP, from the perspective of UE, each RS resource within the RS set for RLM transmitted from which TRP, it is transparent to UE, NW decides this. Normally for m-DCI scenario, for the sake of monitoring each TRPs within the cell considering, partial RS resources would be originated from TRP 0, and the rest RS resources would be originated from TRP 1. So that the link of both two TRPs can be monitored by the UE. Whereas there is not any relevant restriction captured in RAN1/2 spec. If the NW believes the link quality from each TRP to the UE are similar, or the link quality between one of the TRPs and the UE can be inferred though some other solutions, the case of originating all RLM-RSs from one of the TRPs is also possible. So we can leave the relationship between the RLM-RS resources and the multiple TRPs to NW decision. No need to give additional clarification or assumption in RAN4 spec, still reuse the RLM requirements in section 8.1 of TS 38.133 is fine.</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For mDCI scenario of intra-cell mTRP, no need to give any clarification or assumption on whether the RLM-RS originated from two TRPs or not, reuse the requiremnets in section 8.1.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For mDCI scenario of intra-cell mTRP, no need to give any clarification or assumption on whether the RLM-RS originated from two TRPs or not, reuse the requiremnets in section 8.1.</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t>
      </w:r>
      <w:r>
        <w:rPr>
          <w:rFonts w:hint="eastAsia"/>
          <w:color w:val="auto"/>
          <w:highlight w:val="none"/>
          <w:lang w:val="en-US" w:eastAsia="zh-CN"/>
        </w:rPr>
        <w:t>WF on NR FR2 multi-R</w:t>
      </w:r>
      <w:bookmarkStart w:id="2" w:name="_GoBack"/>
      <w:bookmarkEnd w:id="2"/>
      <w:r>
        <w:rPr>
          <w:rFonts w:hint="eastAsia"/>
          <w:color w:val="auto"/>
          <w:highlight w:val="none"/>
          <w:lang w:val="en-US" w:eastAsia="zh-CN"/>
        </w:rPr>
        <w:t>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ACB7DB4E"/>
    <w:multiLevelType w:val="singleLevel"/>
    <w:tmpl w:val="ACB7DB4E"/>
    <w:lvl w:ilvl="0" w:tentative="0">
      <w:start w:val="1"/>
      <w:numFmt w:val="decimal"/>
      <w:suff w:val="space"/>
      <w:lvlText w:val="%1)"/>
      <w:lvlJc w:val="left"/>
    </w:lvl>
  </w:abstractNum>
  <w:abstractNum w:abstractNumId="2">
    <w:nsid w:val="E5955D4D"/>
    <w:multiLevelType w:val="singleLevel"/>
    <w:tmpl w:val="E5955D4D"/>
    <w:lvl w:ilvl="0" w:tentative="0">
      <w:start w:val="1"/>
      <w:numFmt w:val="decimal"/>
      <w:suff w:val="space"/>
      <w:lvlText w:val="%1)"/>
      <w:lvlJc w:val="left"/>
    </w:lvl>
  </w:abstractNum>
  <w:abstractNum w:abstractNumId="3">
    <w:nsid w:val="04494208"/>
    <w:multiLevelType w:val="singleLevel"/>
    <w:tmpl w:val="04494208"/>
    <w:lvl w:ilvl="0" w:tentative="0">
      <w:start w:val="1"/>
      <w:numFmt w:val="decimal"/>
      <w:suff w:val="space"/>
      <w:lvlText w:val="%1)"/>
      <w:lvlJc w:val="left"/>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21558BE"/>
    <w:multiLevelType w:val="singleLevel"/>
    <w:tmpl w:val="221558BE"/>
    <w:lvl w:ilvl="0" w:tentative="0">
      <w:start w:val="1"/>
      <w:numFmt w:val="decimal"/>
      <w:suff w:val="space"/>
      <w:lvlText w:val="%1)"/>
      <w:lvlJc w:val="left"/>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2C0F5E"/>
    <w:multiLevelType w:val="singleLevel"/>
    <w:tmpl w:val="582C0F5E"/>
    <w:lvl w:ilvl="0" w:tentative="0">
      <w:start w:val="1"/>
      <w:numFmt w:val="decimal"/>
      <w:suff w:val="space"/>
      <w:lvlText w:val="%1)"/>
      <w:lvlJc w:val="left"/>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8"/>
  </w:num>
  <w:num w:numId="4">
    <w:abstractNumId w:val="4"/>
  </w:num>
  <w:num w:numId="5">
    <w:abstractNumId w:val="3"/>
  </w:num>
  <w:num w:numId="6">
    <w:abstractNumId w:val="5"/>
  </w:num>
  <w:num w:numId="7">
    <w:abstractNumId w:val="1"/>
  </w:num>
  <w:num w:numId="8">
    <w:abstractNumId w:val="7"/>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4F02E19"/>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AE612B"/>
    <w:rsid w:val="2605683C"/>
    <w:rsid w:val="265F2C81"/>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C6E1F42"/>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6C72241"/>
    <w:rsid w:val="574B3EB2"/>
    <w:rsid w:val="57995B9F"/>
    <w:rsid w:val="57B35413"/>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1333986"/>
    <w:rsid w:val="61661B78"/>
    <w:rsid w:val="61CC2D28"/>
    <w:rsid w:val="62966A9E"/>
    <w:rsid w:val="62DE3B93"/>
    <w:rsid w:val="630C63B9"/>
    <w:rsid w:val="63454F29"/>
    <w:rsid w:val="635902CD"/>
    <w:rsid w:val="642A3E76"/>
    <w:rsid w:val="645E1DDB"/>
    <w:rsid w:val="64706BBE"/>
    <w:rsid w:val="64994B22"/>
    <w:rsid w:val="64A96CB9"/>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B5F3704"/>
    <w:rsid w:val="6C8E0C06"/>
    <w:rsid w:val="6D566F0F"/>
    <w:rsid w:val="6D836F72"/>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 w:type="paragraph" w:styleId="59">
    <w:name w:val="No Spacing"/>
    <w:qFormat/>
    <w:uiPriority w:val="1"/>
    <w:pPr>
      <w:spacing w:after="0" w:line="240" w:lineRule="auto"/>
    </w:pPr>
    <w:rPr>
      <w:rFonts w:ascii="Times New Roman" w:hAnsi="Times New Roman" w:eastAsiaTheme="minorHAnsi" w:cstheme="minorBidi"/>
      <w:sz w:val="20"/>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2024-02-19T09:57:25Z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